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A4B81">
      <w:pPr>
        <w:rPr>
          <w:rFonts w:hint="default" w:ascii="Times New Roman" w:hAnsi="Times New Roman" w:eastAsia="仿宋_GB2312" w:cs="Times New Roman"/>
          <w:sz w:val="32"/>
          <w:szCs w:val="40"/>
          <w:lang w:val="en-US" w:eastAsia="zh-CN"/>
        </w:rPr>
      </w:pPr>
      <w:r>
        <w:rPr>
          <w:rFonts w:hint="eastAsia" w:ascii="仿宋_GB2312" w:hAnsi="仿宋_GB2312" w:eastAsia="仿宋_GB2312" w:cs="仿宋_GB2312"/>
          <w:sz w:val="32"/>
          <w:szCs w:val="40"/>
          <w:lang w:val="en-US" w:eastAsia="zh-CN"/>
        </w:rPr>
        <w:t>附件1</w:t>
      </w:r>
      <w:bookmarkStart w:id="0" w:name="_GoBack"/>
      <w:bookmarkEnd w:id="0"/>
    </w:p>
    <w:p w14:paraId="1B8297B3">
      <w:pPr>
        <w:spacing w:line="360" w:lineRule="auto"/>
        <w:ind w:firstLine="720" w:firstLineChars="200"/>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安徽工程大学校园卡经营商户安全使用责任书</w:t>
      </w:r>
    </w:p>
    <w:p w14:paraId="77A6226E">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为了保证学校校园卡系统安全、稳定、高效地运行，维护校园卡经营商户的合法权益，凡是使用校园卡系统软硬件资源的商户（包括终端消费</w:t>
      </w:r>
      <w:r>
        <w:rPr>
          <w:rFonts w:ascii="仿宋" w:hAnsi="仿宋" w:eastAsia="仿宋"/>
          <w:color w:val="000000" w:themeColor="text1"/>
          <w:sz w:val="28"/>
          <w:szCs w:val="28"/>
          <w14:textFill>
            <w14:solidFill>
              <w14:schemeClr w14:val="tx1"/>
            </w14:solidFill>
          </w14:textFill>
        </w:rPr>
        <w:t>POS</w:t>
      </w:r>
      <w:r>
        <w:rPr>
          <w:rFonts w:hint="eastAsia" w:ascii="仿宋" w:hAnsi="仿宋" w:eastAsia="仿宋"/>
          <w:color w:val="000000" w:themeColor="text1"/>
          <w:sz w:val="28"/>
          <w:szCs w:val="28"/>
          <w14:textFill>
            <w14:solidFill>
              <w14:schemeClr w14:val="tx1"/>
            </w14:solidFill>
          </w14:textFill>
        </w:rPr>
        <w:t>机商户、校内与本系统对接并使用本系统资源的其他管理信息系统，以下均简称为经营商户），应签订本安全使用责任书。</w:t>
      </w:r>
    </w:p>
    <w:p w14:paraId="51DE80B0">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一、校园卡服务中心负责系统的正常运行。应定期对线路进行检修，对设备进行维护，保证网络通畅，满足经营商户的经营和管理需要。</w:t>
      </w:r>
    </w:p>
    <w:p w14:paraId="3ACEC256">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二、校园卡服务中心负责提供消费数据查询、消费退错、统计报表、资金结算等服务。</w:t>
      </w:r>
    </w:p>
    <w:p w14:paraId="0EDCA10A">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三、经营商户应遵守《安徽工程大学校园卡管理办法》等制度，严格按规程操作。</w:t>
      </w:r>
    </w:p>
    <w:p w14:paraId="1601A2B1">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四、按照《安徽工程大学校园卡管理办法》的收费标准，经营商户应及时支付系统管理与维护费。</w:t>
      </w:r>
    </w:p>
    <w:p w14:paraId="6B44AD6B">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五、资金实行按月结算。为确保资金月结的准确性，经营商户应保证所有消费在线交易，如发生脱机消费请及时联系校园卡系统技术人员。</w:t>
      </w:r>
    </w:p>
    <w:p w14:paraId="40642121">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六、校园卡服务中心有责任为经营商户的消费数据保密，同时有义务按照学校要求，向学校有关部门依法提供有关信息和数据。</w:t>
      </w:r>
    </w:p>
    <w:p w14:paraId="526C265A">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七、经营商户在使用中发现线路或设备发生故障，应及时向校园卡服务中心报修，由校园卡服务中心在规定时间内解决。</w:t>
      </w:r>
    </w:p>
    <w:p w14:paraId="0BDFF226">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八、因经营商户监督管理不善或私自拆修、移位、操作错误以及其他人为情况造成的设备损坏，应按原价赔偿或承担全部修理费用。</w:t>
      </w:r>
    </w:p>
    <w:p w14:paraId="38B9FF5B">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九、终端消费</w:t>
      </w:r>
      <w:r>
        <w:rPr>
          <w:rFonts w:ascii="仿宋" w:hAnsi="仿宋" w:eastAsia="仿宋"/>
          <w:color w:val="000000" w:themeColor="text1"/>
          <w:sz w:val="28"/>
          <w:szCs w:val="28"/>
          <w14:textFill>
            <w14:solidFill>
              <w14:schemeClr w14:val="tx1"/>
            </w14:solidFill>
          </w14:textFill>
        </w:rPr>
        <w:t>POS</w:t>
      </w:r>
      <w:r>
        <w:rPr>
          <w:rFonts w:hint="eastAsia" w:ascii="仿宋" w:hAnsi="仿宋" w:eastAsia="仿宋"/>
          <w:color w:val="000000" w:themeColor="text1"/>
          <w:sz w:val="28"/>
          <w:szCs w:val="28"/>
          <w14:textFill>
            <w14:solidFill>
              <w14:schemeClr w14:val="tx1"/>
            </w14:solidFill>
          </w14:textFill>
        </w:rPr>
        <w:t>机商户在使用过程中出现刷卡错误，应按校园卡校内消费退错流程的要求到校园卡服务中心办理退错手续。</w:t>
      </w:r>
    </w:p>
    <w:p w14:paraId="6403E686">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十、终端消费</w:t>
      </w:r>
      <w:r>
        <w:rPr>
          <w:rFonts w:ascii="仿宋" w:hAnsi="仿宋" w:eastAsia="仿宋"/>
          <w:color w:val="000000" w:themeColor="text1"/>
          <w:sz w:val="28"/>
          <w:szCs w:val="28"/>
          <w14:textFill>
            <w14:solidFill>
              <w14:schemeClr w14:val="tx1"/>
            </w14:solidFill>
          </w14:textFill>
        </w:rPr>
        <w:t>POS</w:t>
      </w:r>
      <w:r>
        <w:rPr>
          <w:rFonts w:hint="eastAsia" w:ascii="仿宋" w:hAnsi="仿宋" w:eastAsia="仿宋"/>
          <w:color w:val="000000" w:themeColor="text1"/>
          <w:sz w:val="28"/>
          <w:szCs w:val="28"/>
          <w14:textFill>
            <w14:solidFill>
              <w14:schemeClr w14:val="tx1"/>
            </w14:solidFill>
          </w14:textFill>
        </w:rPr>
        <w:t>机商户在经营中如发现持卡人使用他人校园卡恶意消费时，应予以制止，并报告校园卡服务中心。终端消费</w:t>
      </w:r>
      <w:r>
        <w:rPr>
          <w:rFonts w:ascii="仿宋" w:hAnsi="仿宋" w:eastAsia="仿宋"/>
          <w:color w:val="000000" w:themeColor="text1"/>
          <w:sz w:val="28"/>
          <w:szCs w:val="28"/>
          <w14:textFill>
            <w14:solidFill>
              <w14:schemeClr w14:val="tx1"/>
            </w14:solidFill>
          </w14:textFill>
        </w:rPr>
        <w:t>POS</w:t>
      </w:r>
      <w:r>
        <w:rPr>
          <w:rFonts w:hint="eastAsia" w:ascii="仿宋" w:hAnsi="仿宋" w:eastAsia="仿宋"/>
          <w:color w:val="000000" w:themeColor="text1"/>
          <w:sz w:val="28"/>
          <w:szCs w:val="28"/>
          <w14:textFill>
            <w14:solidFill>
              <w14:schemeClr w14:val="tx1"/>
            </w14:solidFill>
          </w14:textFill>
        </w:rPr>
        <w:t>机商户不得以任何理由为持卡人套取现金。</w:t>
      </w:r>
    </w:p>
    <w:p w14:paraId="69808A58">
      <w:pPr>
        <w:spacing w:line="360" w:lineRule="auto"/>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十一、经营商户需要增加终端消费</w:t>
      </w:r>
      <w:r>
        <w:rPr>
          <w:rFonts w:ascii="仿宋" w:hAnsi="仿宋" w:eastAsia="仿宋"/>
          <w:color w:val="000000" w:themeColor="text1"/>
          <w:sz w:val="28"/>
          <w:szCs w:val="28"/>
          <w14:textFill>
            <w14:solidFill>
              <w14:schemeClr w14:val="tx1"/>
            </w14:solidFill>
          </w14:textFill>
        </w:rPr>
        <w:t>POS</w:t>
      </w:r>
      <w:r>
        <w:rPr>
          <w:rFonts w:hint="eastAsia" w:ascii="仿宋" w:hAnsi="仿宋" w:eastAsia="仿宋"/>
          <w:color w:val="000000" w:themeColor="text1"/>
          <w:sz w:val="28"/>
          <w:szCs w:val="28"/>
          <w14:textFill>
            <w14:solidFill>
              <w14:schemeClr w14:val="tx1"/>
            </w14:solidFill>
          </w14:textFill>
        </w:rPr>
        <w:t>机或其他设备时，应先</w:t>
      </w:r>
      <w:r>
        <w:rPr>
          <w:rFonts w:hint="eastAsia" w:ascii="仿宋" w:hAnsi="仿宋" w:eastAsia="仿宋" w:cs="宋体"/>
          <w:color w:val="000000" w:themeColor="text1"/>
          <w:kern w:val="0"/>
          <w:sz w:val="28"/>
          <w:szCs w:val="28"/>
          <w14:textFill>
            <w14:solidFill>
              <w14:schemeClr w14:val="tx1"/>
            </w14:solidFill>
          </w14:textFill>
        </w:rPr>
        <w:t>填写《安徽工程大学校园卡经营商户申请表》由学校相关职能部门审核同意后，报财务处审核商户结算性质，并</w:t>
      </w:r>
      <w:r>
        <w:rPr>
          <w:rFonts w:hint="eastAsia" w:ascii="仿宋" w:hAnsi="仿宋" w:eastAsia="仿宋"/>
          <w:color w:val="000000" w:themeColor="text1"/>
          <w:sz w:val="28"/>
          <w:szCs w:val="28"/>
          <w14:textFill>
            <w14:solidFill>
              <w14:schemeClr w14:val="tx1"/>
            </w14:solidFill>
          </w14:textFill>
        </w:rPr>
        <w:t>签订《</w:t>
      </w:r>
      <w:r>
        <w:rPr>
          <w:rFonts w:hint="eastAsia" w:ascii="仿宋" w:hAnsi="仿宋" w:eastAsia="仿宋" w:cs="宋体"/>
          <w:color w:val="000000" w:themeColor="text1"/>
          <w:kern w:val="0"/>
          <w:sz w:val="28"/>
          <w:szCs w:val="28"/>
          <w14:textFill>
            <w14:solidFill>
              <w14:schemeClr w14:val="tx1"/>
            </w14:solidFill>
          </w14:textFill>
        </w:rPr>
        <w:t>安徽工程大学</w:t>
      </w:r>
      <w:r>
        <w:rPr>
          <w:rFonts w:hint="eastAsia" w:ascii="仿宋" w:hAnsi="仿宋" w:eastAsia="仿宋"/>
          <w:color w:val="000000" w:themeColor="text1"/>
          <w:sz w:val="28"/>
          <w:szCs w:val="28"/>
          <w14:textFill>
            <w14:solidFill>
              <w14:schemeClr w14:val="tx1"/>
            </w14:solidFill>
          </w14:textFill>
        </w:rPr>
        <w:t>校园卡经营商户安全使用责任书》；</w:t>
      </w:r>
      <w:r>
        <w:rPr>
          <w:rFonts w:hint="eastAsia" w:ascii="仿宋" w:hAnsi="仿宋" w:eastAsia="仿宋" w:cs="宋体"/>
          <w:color w:val="000000" w:themeColor="text1"/>
          <w:kern w:val="0"/>
          <w:sz w:val="28"/>
          <w:szCs w:val="28"/>
          <w14:textFill>
            <w14:solidFill>
              <w14:schemeClr w14:val="tx1"/>
            </w14:solidFill>
          </w14:textFill>
        </w:rPr>
        <w:t>由校园卡服务中心具体负责接入工作。</w:t>
      </w:r>
    </w:p>
    <w:p w14:paraId="3B269FE4">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十二、终端消费</w:t>
      </w:r>
      <w:r>
        <w:rPr>
          <w:rFonts w:ascii="仿宋" w:hAnsi="仿宋" w:eastAsia="仿宋" w:cs="宋体"/>
          <w:color w:val="000000" w:themeColor="text1"/>
          <w:kern w:val="0"/>
          <w:sz w:val="28"/>
          <w:szCs w:val="28"/>
          <w14:textFill>
            <w14:solidFill>
              <w14:schemeClr w14:val="tx1"/>
            </w14:solidFill>
          </w14:textFill>
        </w:rPr>
        <w:t>POS</w:t>
      </w:r>
      <w:r>
        <w:rPr>
          <w:rFonts w:hint="eastAsia" w:ascii="仿宋" w:hAnsi="仿宋" w:eastAsia="仿宋" w:cs="宋体"/>
          <w:color w:val="000000" w:themeColor="text1"/>
          <w:kern w:val="0"/>
          <w:sz w:val="28"/>
          <w:szCs w:val="28"/>
          <w14:textFill>
            <w14:solidFill>
              <w14:schemeClr w14:val="tx1"/>
            </w14:solidFill>
          </w14:textFill>
        </w:rPr>
        <w:t>机</w:t>
      </w:r>
      <w:r>
        <w:rPr>
          <w:rFonts w:hint="eastAsia" w:ascii="仿宋" w:hAnsi="仿宋" w:eastAsia="仿宋"/>
          <w:color w:val="000000" w:themeColor="text1"/>
          <w:sz w:val="28"/>
          <w:szCs w:val="28"/>
          <w14:textFill>
            <w14:solidFill>
              <w14:schemeClr w14:val="tx1"/>
            </w14:solidFill>
          </w14:textFill>
        </w:rPr>
        <w:t>商户</w:t>
      </w:r>
      <w:r>
        <w:rPr>
          <w:rFonts w:hint="eastAsia" w:ascii="仿宋" w:hAnsi="仿宋" w:eastAsia="仿宋" w:cs="宋体"/>
          <w:color w:val="000000" w:themeColor="text1"/>
          <w:kern w:val="0"/>
          <w:sz w:val="28"/>
          <w:szCs w:val="28"/>
          <w14:textFill>
            <w14:solidFill>
              <w14:schemeClr w14:val="tx1"/>
            </w14:solidFill>
          </w14:textFill>
        </w:rPr>
        <w:t>因合同期满或其他原因退出经营时，应在办理最后一个月的资金结算前和校园卡服务中心办理移交手续。未办理移交手续的不得办理资金结算。</w:t>
      </w:r>
    </w:p>
    <w:p w14:paraId="79552614">
      <w:pPr>
        <w:widowControl/>
        <w:jc w:val="left"/>
        <w:rPr>
          <w:rFonts w:ascii="仿宋" w:hAnsi="仿宋" w:eastAsia="仿宋"/>
          <w:color w:val="000000" w:themeColor="text1"/>
          <w:sz w:val="28"/>
          <w14:textFill>
            <w14:solidFill>
              <w14:schemeClr w14:val="tx1"/>
            </w14:solidFill>
          </w14:textFill>
        </w:rPr>
      </w:pPr>
    </w:p>
    <w:p w14:paraId="0169F4C8">
      <w:pPr>
        <w:widowControl/>
        <w:jc w:val="lef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  商户名称 (盖章)  ：                签字：</w:t>
      </w:r>
    </w:p>
    <w:p w14:paraId="0A278BD0">
      <w:pPr>
        <w:widowControl/>
        <w:jc w:val="lef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                                     日期：</w:t>
      </w:r>
    </w:p>
    <w:sectPr>
      <w:footerReference r:id="rId3" w:type="default"/>
      <w:pgSz w:w="11906" w:h="16838"/>
      <w:pgMar w:top="1134" w:right="1701" w:bottom="113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8186969"/>
      <w:docPartObj>
        <w:docPartGallery w:val="AutoText"/>
      </w:docPartObj>
    </w:sdtPr>
    <w:sdtContent>
      <w:p w14:paraId="0E5F6F3D">
        <w:pPr>
          <w:pStyle w:val="2"/>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232ABB5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24"/>
    <w:rsid w:val="001E337F"/>
    <w:rsid w:val="0044164D"/>
    <w:rsid w:val="00580C77"/>
    <w:rsid w:val="00B70B24"/>
    <w:rsid w:val="00E208A2"/>
    <w:rsid w:val="1C8E0908"/>
    <w:rsid w:val="4A01737A"/>
    <w:rsid w:val="4F38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uiPriority w:val="99"/>
    <w:pPr>
      <w:tabs>
        <w:tab w:val="center" w:pos="4153"/>
        <w:tab w:val="right" w:pos="8306"/>
      </w:tabs>
      <w:snapToGrid w:val="0"/>
      <w:jc w:val="left"/>
    </w:pPr>
    <w:rPr>
      <w:sz w:val="18"/>
      <w:szCs w:val="18"/>
    </w:rPr>
  </w:style>
  <w:style w:type="character" w:customStyle="1" w:styleId="5">
    <w:name w:val="页脚 Char"/>
    <w:basedOn w:val="4"/>
    <w:link w:val="2"/>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Pages>
  <Words>876</Words>
  <Characters>888</Characters>
  <Lines>6</Lines>
  <Paragraphs>1</Paragraphs>
  <TotalTime>0</TotalTime>
  <ScaleCrop>false</ScaleCrop>
  <LinksUpToDate>false</LinksUpToDate>
  <CharactersWithSpaces>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2021-11-05T01:27:00Z</dcterms:created>
  <dc:creator>陈欣</dc:creator>
  <cp:lastModifiedBy>CHY</cp:lastModifiedBy>
  <dcterms:modified xsi:type="dcterms:W3CDTF">2025-12-05T09:06:16Z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eyJoZGlkIjoiMDdkNWM3NzRhYjQyZDdlOWI3MzJiNWQ0NWVjMTI4YjAiLCJ1c2VySWQiOiI0MTI2Njk4OTAifQ==</vt:lpwstr>
  </property>
  <property fmtid="{D5CDD505-2E9C-101B-9397-08002B2CF9AE}" pid="3" name="KSOProductBuildVer">
    <vt:lpwstr>2052-12.1.0.23542</vt:lpwstr>
  </property>
  <property fmtid="{D5CDD505-2E9C-101B-9397-08002B2CF9AE}" pid="4" name="ICV">
    <vt:lpwstr>70B033E2DAA54CDFB12BB7BA759675B9_12</vt:lpwstr>
  </property>
</Properties>
</file>